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144" w:lineRule="exact"/>
        <w:rPr>
          <w:rFonts w:hint="default"/>
          <w:spacing w:val="0"/>
        </w:rPr>
      </w:pPr>
      <w:r>
        <w:rPr>
          <w:rFonts w:hint="eastAsia" w:ascii="ＭＳ 明朝" w:hAnsi="ＭＳ 明朝"/>
          <w:spacing w:val="0"/>
          <w:sz w:val="16"/>
        </w:rPr>
        <w:t>工事要領</w:t>
      </w:r>
    </w:p>
    <w:p>
      <w:pPr>
        <w:pStyle w:val="15"/>
        <w:spacing w:line="144" w:lineRule="exact"/>
        <w:rPr>
          <w:rFonts w:hint="default"/>
          <w:spacing w:val="0"/>
        </w:rPr>
      </w:pPr>
      <w:r>
        <w:rPr>
          <w:rFonts w:hint="eastAsia" w:ascii="ＭＳ 明朝" w:hAnsi="ＭＳ 明朝"/>
          <w:spacing w:val="0"/>
          <w:sz w:val="16"/>
        </w:rPr>
        <w:t>第８条第２項</w:t>
      </w:r>
    </w:p>
    <w:p>
      <w:pPr>
        <w:pStyle w:val="15"/>
        <w:spacing w:line="144" w:lineRule="exact"/>
        <w:rPr>
          <w:rFonts w:hint="default"/>
          <w:spacing w:val="0"/>
        </w:rPr>
      </w:pPr>
      <w:r>
        <w:rPr>
          <w:rFonts w:hint="eastAsia" w:ascii="ＭＳ 明朝" w:hAnsi="ＭＳ 明朝"/>
          <w:spacing w:val="0"/>
          <w:sz w:val="16"/>
        </w:rPr>
        <w:t>様式第７号</w:t>
      </w:r>
    </w:p>
    <w:p>
      <w:pPr>
        <w:pStyle w:val="15"/>
        <w:rPr>
          <w:rFonts w:hint="default"/>
          <w:spacing w:val="0"/>
        </w:rPr>
      </w:pPr>
    </w:p>
    <w:p>
      <w:pPr>
        <w:pStyle w:val="15"/>
        <w:spacing w:line="440" w:lineRule="exact"/>
        <w:jc w:val="center"/>
        <w:rPr>
          <w:rFonts w:hint="default"/>
          <w:spacing w:val="0"/>
          <w:sz w:val="32"/>
        </w:rPr>
      </w:pPr>
      <w:r>
        <w:rPr>
          <w:rFonts w:hint="default" w:eastAsia="Times New Roman"/>
          <w:spacing w:val="0"/>
          <w:sz w:val="32"/>
        </w:rPr>
        <w:t xml:space="preserve"> </w:t>
      </w:r>
      <w:r>
        <w:rPr>
          <w:rFonts w:hint="eastAsia" w:ascii="ＭＳ 明朝" w:hAnsi="ＭＳ 明朝"/>
          <w:spacing w:val="280"/>
          <w:sz w:val="32"/>
          <w:fitText w:val="3840" w:id="1"/>
        </w:rPr>
        <w:t>入札心得</w:t>
      </w:r>
      <w:r>
        <w:rPr>
          <w:rFonts w:hint="eastAsia" w:ascii="ＭＳ 明朝" w:hAnsi="ＭＳ 明朝"/>
          <w:spacing w:val="0"/>
          <w:sz w:val="32"/>
          <w:fitText w:val="3840" w:id="1"/>
        </w:rPr>
        <w:t>書</w:t>
      </w:r>
      <w:r>
        <w:rPr>
          <w:rFonts w:hint="eastAsia" w:ascii="ＭＳ 明朝" w:hAnsi="ＭＳ 明朝"/>
          <w:sz w:val="32"/>
        </w:rPr>
        <w:t>　</w:t>
      </w:r>
    </w:p>
    <w:p>
      <w:pPr>
        <w:pStyle w:val="15"/>
        <w:jc w:val="center"/>
        <w:rPr>
          <w:rFonts w:hint="default" w:eastAsia="Times New Roman"/>
          <w:spacing w:val="0"/>
        </w:rPr>
      </w:pPr>
    </w:p>
    <w:p>
      <w:pPr>
        <w:pStyle w:val="15"/>
        <w:jc w:val="center"/>
        <w:rPr>
          <w:rFonts w:hint="default"/>
          <w:spacing w:val="0"/>
        </w:rPr>
      </w:pPr>
      <w:r>
        <w:rPr>
          <w:rFonts w:hint="default" w:eastAsia="Times New Roman"/>
          <w:spacing w:val="0"/>
        </w:rPr>
        <w:t xml:space="preserve">                                </w:t>
      </w:r>
    </w:p>
    <w:p>
      <w:pPr>
        <w:pStyle w:val="15"/>
        <w:spacing w:line="340" w:lineRule="exact"/>
        <w:ind w:firstLine="212" w:firstLineChars="100"/>
        <w:rPr>
          <w:rFonts w:hint="default"/>
          <w:spacing w:val="0"/>
        </w:rPr>
      </w:pPr>
      <w:r>
        <w:rPr>
          <w:rFonts w:hint="eastAsia" w:ascii="ＭＳ 明朝" w:hAnsi="ＭＳ 明朝"/>
        </w:rPr>
        <w:t>１　入札参加者は、私的独占の禁止及び公正取引の確保に関する法律（昭和２２年法律第５４号）　　　</w:t>
      </w:r>
      <w:bookmarkStart w:id="0" w:name="_GoBack"/>
      <w:bookmarkEnd w:id="0"/>
      <w:r>
        <w:rPr>
          <w:rFonts w:hint="eastAsia" w:ascii="ＭＳ 明朝" w:hAnsi="ＭＳ 明朝"/>
        </w:rPr>
        <w:t>等に抵触する行為を行ってはならない。</w:t>
      </w:r>
    </w:p>
    <w:p>
      <w:pPr>
        <w:pStyle w:val="15"/>
        <w:spacing w:line="340" w:lineRule="exact"/>
        <w:ind w:left="422" w:leftChars="100" w:hanging="212" w:hangingChars="100"/>
        <w:rPr>
          <w:rFonts w:hint="default"/>
          <w:spacing w:val="0"/>
        </w:rPr>
      </w:pPr>
      <w:r>
        <w:rPr>
          <w:rFonts w:hint="eastAsia" w:ascii="ＭＳ 明朝" w:hAnsi="ＭＳ 明朝"/>
        </w:rPr>
        <w:t>２　入札に参加しようとするものは、その者の見積に係る入札金額の</w:t>
      </w:r>
      <w:r>
        <w:rPr>
          <w:rFonts w:hint="default" w:eastAsia="Times New Roman"/>
        </w:rPr>
        <w:t>100</w:t>
      </w:r>
      <w:r>
        <w:rPr>
          <w:rFonts w:hint="eastAsia" w:ascii="ＭＳ 明朝" w:hAnsi="ＭＳ 明朝"/>
        </w:rPr>
        <w:t>分の</w:t>
      </w:r>
      <w:r>
        <w:rPr>
          <w:rFonts w:hint="default" w:eastAsia="Times New Roman"/>
        </w:rPr>
        <w:t>5</w:t>
      </w:r>
      <w:r>
        <w:rPr>
          <w:rFonts w:hint="eastAsia" w:ascii="ＭＳ 明朝" w:hAnsi="ＭＳ 明朝"/>
        </w:rPr>
        <w:t>以上の額の入札保証金を納めなければならない。</w:t>
      </w:r>
    </w:p>
    <w:p>
      <w:pPr>
        <w:pStyle w:val="15"/>
        <w:spacing w:line="340" w:lineRule="exact"/>
        <w:ind w:left="634" w:leftChars="100" w:hanging="424" w:hangingChars="200"/>
        <w:rPr>
          <w:rFonts w:hint="default"/>
          <w:spacing w:val="0"/>
        </w:rPr>
      </w:pPr>
      <w:r>
        <w:rPr>
          <w:rFonts w:hint="eastAsia" w:ascii="ＭＳ 明朝" w:hAnsi="ＭＳ 明朝"/>
        </w:rPr>
        <w:t>３　入札の回数は、再度入札も含めて２回限りとする。ただし、</w:t>
      </w:r>
      <w:r>
        <w:rPr>
          <w:rFonts w:hint="eastAsia" w:ascii="ＭＳ 明朝" w:hAnsi="ＭＳ 明朝"/>
          <w:spacing w:val="0"/>
        </w:rPr>
        <w:t>８に該当する場合は再度入札に参加できない。</w:t>
      </w:r>
    </w:p>
    <w:p>
      <w:pPr>
        <w:pStyle w:val="15"/>
        <w:spacing w:line="340" w:lineRule="exact"/>
        <w:ind w:left="422" w:leftChars="100" w:hanging="212" w:hangingChars="100"/>
        <w:rPr>
          <w:rFonts w:hint="default" w:ascii="ＭＳ 明朝" w:hAnsi="ＭＳ 明朝"/>
        </w:rPr>
      </w:pPr>
      <w:r>
        <w:rPr>
          <w:rFonts w:hint="eastAsia" w:ascii="ＭＳ 明朝" w:hAnsi="ＭＳ 明朝"/>
        </w:rPr>
        <w:t>４　入札者のうち、予定価格以内で最低価格の入札者を落札者と定める。但し、同価格の入札者が</w:t>
      </w:r>
    </w:p>
    <w:p>
      <w:pPr>
        <w:pStyle w:val="15"/>
        <w:spacing w:line="340" w:lineRule="exact"/>
        <w:ind w:left="420" w:leftChars="200"/>
        <w:rPr>
          <w:rFonts w:hint="default"/>
          <w:spacing w:val="0"/>
        </w:rPr>
      </w:pPr>
      <w:r>
        <w:rPr>
          <w:rFonts w:hint="eastAsia" w:ascii="ＭＳ 明朝" w:hAnsi="ＭＳ 明朝"/>
        </w:rPr>
        <w:t>あったときは、くじによって落札者を定める。</w:t>
      </w:r>
    </w:p>
    <w:p>
      <w:pPr>
        <w:pStyle w:val="15"/>
        <w:spacing w:line="340" w:lineRule="exact"/>
        <w:rPr>
          <w:rFonts w:hint="default" w:ascii="ＭＳ 明朝" w:hAnsi="ＭＳ 明朝"/>
        </w:rPr>
      </w:pPr>
      <w:r>
        <w:rPr>
          <w:rFonts w:hint="default" w:eastAsia="Times New Roman"/>
          <w:spacing w:val="0"/>
        </w:rPr>
        <w:t xml:space="preserve">  </w:t>
      </w:r>
      <w:r>
        <w:rPr>
          <w:rFonts w:hint="eastAsia" w:ascii="ＭＳ 明朝" w:hAnsi="ＭＳ 明朝"/>
        </w:rPr>
        <w:t>５　入札書は、本人提出とする。但し、代理人のときは委任状を提出し、入札書には会社名、代表</w:t>
      </w:r>
    </w:p>
    <w:p>
      <w:pPr>
        <w:pStyle w:val="15"/>
        <w:spacing w:line="340" w:lineRule="exact"/>
        <w:rPr>
          <w:rFonts w:hint="default" w:eastAsia="Times New Roman"/>
          <w:spacing w:val="0"/>
        </w:rPr>
      </w:pPr>
      <w:r>
        <w:rPr>
          <w:rFonts w:hint="eastAsia" w:ascii="ＭＳ 明朝" w:hAnsi="ＭＳ 明朝"/>
        </w:rPr>
        <w:t>　　者名及び代理人名を併記し、代理人の印を押印すること。</w:t>
      </w:r>
      <w:r>
        <w:rPr>
          <w:rFonts w:hint="default" w:eastAsia="Times New Roman"/>
          <w:spacing w:val="0"/>
        </w:rPr>
        <w:t xml:space="preserve">     </w:t>
      </w:r>
    </w:p>
    <w:p>
      <w:pPr>
        <w:pStyle w:val="15"/>
        <w:spacing w:line="340" w:lineRule="exact"/>
        <w:rPr>
          <w:rFonts w:hint="default"/>
          <w:color w:val="FF0000"/>
          <w:spacing w:val="0"/>
        </w:rPr>
      </w:pPr>
      <w:r>
        <w:rPr>
          <w:rFonts w:hint="eastAsia" w:ascii="ＭＳ 明朝" w:hAnsi="ＭＳ 明朝"/>
          <w:spacing w:val="0"/>
        </w:rPr>
        <w:t>　</w:t>
      </w:r>
      <w:r>
        <w:rPr>
          <w:rFonts w:hint="eastAsia" w:ascii="ＭＳ 明朝" w:hAnsi="ＭＳ 明朝"/>
          <w:color w:val="FF0000"/>
          <w:spacing w:val="0"/>
        </w:rPr>
        <w:t>６　入札者は、</w:t>
      </w:r>
      <w:r>
        <w:rPr>
          <w:rFonts w:hint="eastAsia" w:ascii="ＭＳ 明朝" w:hAnsi="ＭＳ 明朝"/>
          <w:color w:val="FF0000"/>
          <w:spacing w:val="0"/>
        </w:rPr>
        <w:t>1</w:t>
      </w:r>
      <w:r>
        <w:rPr>
          <w:rFonts w:hint="eastAsia" w:ascii="ＭＳ 明朝" w:hAnsi="ＭＳ 明朝"/>
          <w:color w:val="FF0000"/>
          <w:spacing w:val="0"/>
        </w:rPr>
        <w:t>回目の入札金額に対応する内訳明細書を作成し、入札書と併せて提出すること。</w:t>
      </w:r>
    </w:p>
    <w:p>
      <w:pPr>
        <w:pStyle w:val="15"/>
        <w:spacing w:line="340" w:lineRule="exact"/>
        <w:ind w:firstLine="212" w:firstLineChars="100"/>
        <w:rPr>
          <w:rFonts w:hint="default" w:ascii="ＭＳ 明朝" w:hAnsi="ＭＳ 明朝"/>
        </w:rPr>
      </w:pPr>
      <w:r>
        <w:rPr>
          <w:rFonts w:hint="eastAsia" w:ascii="ＭＳ 明朝" w:hAnsi="ＭＳ 明朝"/>
        </w:rPr>
        <w:t>７　入札参加者は、入札書を提出するまでの間において、入札辞退届を提出することにより、自由</w:t>
      </w:r>
    </w:p>
    <w:p>
      <w:pPr>
        <w:pStyle w:val="15"/>
        <w:spacing w:line="340" w:lineRule="exact"/>
        <w:rPr>
          <w:rFonts w:hint="default" w:ascii="ＭＳ 明朝" w:hAnsi="ＭＳ 明朝"/>
        </w:rPr>
      </w:pPr>
      <w:r>
        <w:rPr>
          <w:rFonts w:hint="eastAsia" w:ascii="ＭＳ 明朝" w:hAnsi="ＭＳ 明朝"/>
        </w:rPr>
        <w:t>　　に入札を辞退することができる。</w:t>
      </w:r>
    </w:p>
    <w:p>
      <w:pPr>
        <w:pStyle w:val="20"/>
        <w:spacing w:line="340" w:lineRule="exact"/>
        <w:ind w:left="0" w:firstLine="240" w:firstLineChars="100"/>
        <w:jc w:val="both"/>
        <w:rPr>
          <w:rFonts w:hint="default"/>
          <w:sz w:val="21"/>
        </w:rPr>
      </w:pPr>
      <w:r>
        <w:rPr>
          <w:rFonts w:hint="eastAsia"/>
        </w:rPr>
        <w:t>８</w:t>
      </w:r>
      <w:r>
        <w:rPr>
          <w:rFonts w:hint="eastAsia"/>
          <w:sz w:val="21"/>
        </w:rPr>
        <w:t>　入札が次の各号の一に該当する場合は，その者の入札を無効とする。</w:t>
      </w:r>
    </w:p>
    <w:p>
      <w:pPr>
        <w:pStyle w:val="21"/>
        <w:wordWrap w:val="0"/>
        <w:spacing w:line="340" w:lineRule="exact"/>
        <w:ind w:left="420" w:leftChars="200" w:firstLine="0"/>
        <w:rPr>
          <w:rFonts w:hint="default"/>
          <w:sz w:val="21"/>
        </w:rPr>
      </w:pPr>
      <w:bookmarkStart w:id="1" w:name="at100cl1it1"/>
      <w:r>
        <w:rPr>
          <w:rFonts w:hint="default"/>
          <w:sz w:val="21"/>
        </w:rPr>
        <w:t>(1)</w:t>
      </w:r>
      <w:r>
        <w:rPr>
          <w:rFonts w:hint="eastAsia"/>
          <w:sz w:val="21"/>
        </w:rPr>
        <w:t>参加資格のない者のした入札書</w:t>
      </w:r>
      <w:bookmarkEnd w:id="1"/>
      <w:r>
        <w:rPr>
          <w:rFonts w:hint="eastAsia"/>
          <w:sz w:val="21"/>
        </w:rPr>
        <w:t>、</w:t>
      </w:r>
      <w:bookmarkStart w:id="2" w:name="at100cl1it2"/>
      <w:r>
        <w:rPr>
          <w:rFonts w:hint="default"/>
          <w:sz w:val="21"/>
        </w:rPr>
        <w:t>(2)</w:t>
      </w:r>
      <w:r>
        <w:rPr>
          <w:rFonts w:hint="eastAsia"/>
          <w:sz w:val="21"/>
        </w:rPr>
        <w:t>同一人がした</w:t>
      </w:r>
      <w:r>
        <w:rPr>
          <w:rFonts w:hint="default"/>
          <w:sz w:val="21"/>
        </w:rPr>
        <w:t>2</w:t>
      </w:r>
      <w:r>
        <w:rPr>
          <w:rFonts w:hint="eastAsia"/>
          <w:sz w:val="21"/>
        </w:rPr>
        <w:t>以上の入札書</w:t>
      </w:r>
      <w:bookmarkEnd w:id="2"/>
      <w:r>
        <w:rPr>
          <w:rFonts w:hint="eastAsia"/>
          <w:sz w:val="21"/>
        </w:rPr>
        <w:t>、</w:t>
      </w:r>
      <w:bookmarkStart w:id="3" w:name="at100cl1it3"/>
      <w:r>
        <w:rPr>
          <w:rFonts w:hint="default"/>
          <w:sz w:val="21"/>
        </w:rPr>
        <w:t>(3)</w:t>
      </w:r>
      <w:r>
        <w:rPr>
          <w:rFonts w:hint="eastAsia"/>
          <w:sz w:val="21"/>
        </w:rPr>
        <w:t>入札者が協定していた入札書</w:t>
      </w:r>
      <w:bookmarkEnd w:id="3"/>
      <w:r>
        <w:rPr>
          <w:rFonts w:hint="eastAsia"/>
          <w:sz w:val="21"/>
        </w:rPr>
        <w:t>、</w:t>
      </w:r>
      <w:bookmarkStart w:id="4" w:name="at100cl1it4"/>
      <w:r>
        <w:rPr>
          <w:rFonts w:hint="default"/>
          <w:sz w:val="21"/>
        </w:rPr>
        <w:t>(4)</w:t>
      </w:r>
      <w:r>
        <w:rPr>
          <w:rFonts w:hint="eastAsia"/>
          <w:sz w:val="21"/>
        </w:rPr>
        <w:t>金額その他記載事項が明らかではない入札書</w:t>
      </w:r>
      <w:bookmarkEnd w:id="4"/>
      <w:r>
        <w:rPr>
          <w:rFonts w:hint="eastAsia"/>
          <w:sz w:val="21"/>
        </w:rPr>
        <w:t>、</w:t>
      </w:r>
      <w:bookmarkStart w:id="5" w:name="at100cl1it5"/>
      <w:r>
        <w:rPr>
          <w:rFonts w:hint="default"/>
          <w:sz w:val="21"/>
        </w:rPr>
        <w:t>(5)</w:t>
      </w:r>
      <w:r>
        <w:rPr>
          <w:rFonts w:hint="eastAsia"/>
          <w:color w:val="FF0000"/>
          <w:sz w:val="21"/>
        </w:rPr>
        <w:t>工事費内訳書の提出がないもの</w:t>
      </w:r>
      <w:r>
        <w:rPr>
          <w:rFonts w:hint="eastAsia"/>
          <w:sz w:val="21"/>
        </w:rPr>
        <w:t>、</w:t>
      </w:r>
    </w:p>
    <w:p>
      <w:pPr>
        <w:pStyle w:val="21"/>
        <w:wordWrap w:val="0"/>
        <w:spacing w:line="340" w:lineRule="exact"/>
        <w:ind w:left="420" w:leftChars="200" w:firstLine="0"/>
        <w:rPr>
          <w:rFonts w:hint="default"/>
        </w:rPr>
      </w:pPr>
      <w:r>
        <w:rPr>
          <w:rFonts w:hint="eastAsia"/>
          <w:sz w:val="21"/>
        </w:rPr>
        <w:t>(6)</w:t>
      </w:r>
      <w:r>
        <w:rPr>
          <w:rFonts w:hint="eastAsia"/>
          <w:sz w:val="21"/>
        </w:rPr>
        <w:t>前各号に掲げるもののほか，入札条件に違反して入札した入札書</w:t>
      </w:r>
      <w:bookmarkEnd w:id="5"/>
      <w:r>
        <w:rPr>
          <w:rFonts w:hint="eastAsia"/>
        </w:rPr>
        <w:t>　</w:t>
      </w:r>
    </w:p>
    <w:p>
      <w:pPr>
        <w:pStyle w:val="15"/>
        <w:spacing w:line="340" w:lineRule="exact"/>
        <w:ind w:left="634" w:leftChars="100" w:hanging="424" w:hangingChars="200"/>
        <w:rPr>
          <w:rFonts w:hint="default"/>
          <w:spacing w:val="0"/>
        </w:rPr>
      </w:pPr>
      <w:r>
        <w:rPr>
          <w:rFonts w:hint="eastAsia" w:ascii="ＭＳ 明朝" w:hAnsi="ＭＳ 明朝"/>
        </w:rPr>
        <w:t>９　落札決定に当たっては、入札書に記載された金額の１００分の１０に相当する額を加算した金額（当該金額に１円未満の端数があるときは、その端数金額を切り捨てた金額）をもって落札価格とするので、入札者は、消費税及び地方消費税に係わる課税事業者であるか免税事業者であるかを問わず、見積もった契約希望金額の１１０分の１００に相当する金額を入札書に記載すること。</w:t>
      </w:r>
    </w:p>
    <w:p>
      <w:pPr>
        <w:pStyle w:val="15"/>
        <w:spacing w:line="340" w:lineRule="exact"/>
        <w:rPr>
          <w:rFonts w:hint="default"/>
          <w:spacing w:val="0"/>
        </w:rPr>
      </w:pPr>
      <w:r>
        <w:rPr>
          <w:rFonts w:hint="eastAsia" w:ascii="ＭＳ 明朝" w:hAnsi="ＭＳ 明朝"/>
          <w:spacing w:val="0"/>
        </w:rPr>
        <w:t>１０</w:t>
      </w:r>
      <w:r>
        <w:rPr>
          <w:rFonts w:hint="eastAsia" w:ascii="ＭＳ 明朝" w:hAnsi="ＭＳ 明朝"/>
        </w:rPr>
        <w:t>　落札者は、落札決定後原則として、７日以内に契約を締結しなければならない。</w:t>
      </w:r>
      <w:r>
        <w:rPr>
          <w:rFonts w:hint="default" w:eastAsia="Times New Roman"/>
          <w:spacing w:val="0"/>
        </w:rPr>
        <w:t xml:space="preserve"> </w:t>
      </w:r>
    </w:p>
    <w:p>
      <w:pPr>
        <w:pStyle w:val="15"/>
        <w:spacing w:line="340" w:lineRule="exact"/>
        <w:rPr>
          <w:rFonts w:hint="default" w:ascii="ＭＳ 明朝" w:hAnsi="ＭＳ 明朝"/>
        </w:rPr>
      </w:pPr>
      <w:r>
        <w:rPr>
          <w:rFonts w:hint="eastAsia" w:ascii="ＭＳ 明朝" w:hAnsi="ＭＳ 明朝"/>
        </w:rPr>
        <w:t>１１　落札者は、契約書の提出と同時に、契約代金の額の１００分の１０以上の額の契約保証金を契</w:t>
      </w:r>
    </w:p>
    <w:p>
      <w:pPr>
        <w:pStyle w:val="15"/>
        <w:spacing w:line="340" w:lineRule="exact"/>
        <w:ind w:firstLine="424" w:firstLineChars="200"/>
        <w:rPr>
          <w:rFonts w:hint="default"/>
          <w:spacing w:val="0"/>
        </w:rPr>
      </w:pPr>
      <w:r>
        <w:rPr>
          <w:rFonts w:hint="eastAsia" w:ascii="ＭＳ 明朝" w:hAnsi="ＭＳ 明朝"/>
        </w:rPr>
        <w:t>約条項第４条により納めなければならない。</w:t>
      </w:r>
    </w:p>
    <w:p>
      <w:pPr>
        <w:pStyle w:val="15"/>
        <w:spacing w:line="340" w:lineRule="exact"/>
        <w:rPr>
          <w:rFonts w:hint="default" w:ascii="ＭＳ 明朝" w:hAnsi="ＭＳ 明朝"/>
        </w:rPr>
      </w:pPr>
      <w:r>
        <w:rPr>
          <w:rFonts w:hint="eastAsia" w:ascii="ＭＳ 明朝" w:hAnsi="ＭＳ 明朝"/>
        </w:rPr>
        <w:t>１２　落札者は、契約書の提出と同時に、課税（免税）事業者届出書を提出すること。</w:t>
      </w:r>
    </w:p>
    <w:p>
      <w:pPr>
        <w:pStyle w:val="15"/>
        <w:spacing w:line="340" w:lineRule="exact"/>
        <w:rPr>
          <w:rFonts w:hint="default"/>
        </w:rPr>
      </w:pPr>
      <w:r>
        <w:rPr>
          <w:rFonts w:hint="eastAsia"/>
          <w:spacing w:val="0"/>
        </w:rPr>
        <w:t>１３　</w:t>
      </w:r>
      <w:r>
        <w:rPr>
          <w:rFonts w:hint="eastAsia"/>
        </w:rPr>
        <w:t>落札者は、契約書の提出と同時に、契約書に規定する暴力団排除条項第</w:t>
      </w:r>
      <w:r>
        <w:rPr>
          <w:rFonts w:hint="eastAsia"/>
        </w:rPr>
        <w:t>1</w:t>
      </w:r>
      <w:r>
        <w:rPr>
          <w:rFonts w:hint="eastAsia"/>
        </w:rPr>
        <w:t>項各号に該当しない</w:t>
      </w:r>
    </w:p>
    <w:p>
      <w:pPr>
        <w:pStyle w:val="15"/>
        <w:spacing w:line="340" w:lineRule="exact"/>
        <w:ind w:firstLine="424" w:firstLineChars="200"/>
        <w:rPr>
          <w:rFonts w:hint="default"/>
          <w:spacing w:val="0"/>
        </w:rPr>
      </w:pPr>
      <w:r>
        <w:rPr>
          <w:rFonts w:hint="eastAsia"/>
        </w:rPr>
        <w:t>こと等について誓約する誓約書を提出しなければならない。</w:t>
      </w:r>
    </w:p>
    <w:p>
      <w:pPr>
        <w:pStyle w:val="15"/>
        <w:spacing w:line="340" w:lineRule="exact"/>
        <w:rPr>
          <w:rFonts w:hint="default"/>
          <w:spacing w:val="0"/>
        </w:rPr>
      </w:pPr>
      <w:r>
        <w:rPr>
          <w:rFonts w:hint="eastAsia" w:ascii="ＭＳ 明朝" w:hAnsi="ＭＳ 明朝"/>
        </w:rPr>
        <w:t>１４　契約金額５０万円以上のものについて、保証事業会社の保証があるときは、予算の範囲内で契　　　約金額の４</w:t>
      </w:r>
      <w:r>
        <w:rPr>
          <w:rFonts w:hint="eastAsia" w:ascii="ＭＳ Ｐゴシック" w:hAnsi="ＭＳ Ｐゴシック" w:eastAsia="ＭＳ Ｐゴシック"/>
        </w:rPr>
        <w:t>／</w:t>
      </w:r>
      <w:r>
        <w:rPr>
          <w:rFonts w:hint="eastAsia" w:ascii="ＭＳ 明朝" w:hAnsi="ＭＳ 明朝"/>
        </w:rPr>
        <w:t>１０以内の前金払</w:t>
      </w:r>
      <w:r>
        <w:rPr>
          <w:rFonts w:hint="eastAsia" w:ascii="ＭＳ 明朝" w:hAnsi="ＭＳ 明朝"/>
          <w:color w:val="FF0000"/>
        </w:rPr>
        <w:t>及び２</w:t>
      </w:r>
      <w:r>
        <w:rPr>
          <w:rFonts w:hint="eastAsia" w:ascii="ＭＳ Ｐゴシック" w:hAnsi="ＭＳ Ｐゴシック" w:eastAsia="ＭＳ Ｐゴシック"/>
          <w:color w:val="FF0000"/>
        </w:rPr>
        <w:t>／</w:t>
      </w:r>
      <w:r>
        <w:rPr>
          <w:rFonts w:hint="eastAsia" w:ascii="ＭＳ 明朝" w:hAnsi="ＭＳ 明朝"/>
          <w:color w:val="FF0000"/>
        </w:rPr>
        <w:t>１０以内の中間前払金を</w:t>
      </w:r>
      <w:r>
        <w:rPr>
          <w:rFonts w:hint="eastAsia" w:ascii="ＭＳ 明朝" w:hAnsi="ＭＳ 明朝"/>
        </w:rPr>
        <w:t>請求することができる。</w:t>
      </w:r>
      <w:r>
        <w:rPr>
          <w:rFonts w:hint="default" w:eastAsia="Times New Roman"/>
          <w:spacing w:val="0"/>
        </w:rPr>
        <w:t xml:space="preserve">       </w:t>
      </w:r>
    </w:p>
    <w:p>
      <w:pPr>
        <w:pStyle w:val="15"/>
        <w:spacing w:line="340" w:lineRule="exact"/>
        <w:rPr>
          <w:rFonts w:hint="default" w:ascii="ＭＳ 明朝" w:hAnsi="ＭＳ 明朝"/>
        </w:rPr>
      </w:pPr>
      <w:r>
        <w:rPr>
          <w:rFonts w:hint="eastAsia" w:ascii="ＭＳ 明朝" w:hAnsi="ＭＳ 明朝"/>
        </w:rPr>
        <w:t>１５</w:t>
      </w:r>
      <w:r>
        <w:rPr>
          <w:rFonts w:hint="default" w:eastAsia="Times New Roman"/>
          <w:spacing w:val="0"/>
        </w:rPr>
        <w:t xml:space="preserve">  </w:t>
      </w:r>
      <w:r>
        <w:rPr>
          <w:rFonts w:hint="eastAsia" w:ascii="ＭＳ 明朝" w:hAnsi="ＭＳ 明朝"/>
        </w:rPr>
        <w:t>請負者は、建設業退職金共済組合に加入し、当該工事の掛金収納金を速やかに提出しなければ</w:t>
      </w:r>
    </w:p>
    <w:p>
      <w:pPr>
        <w:pStyle w:val="15"/>
        <w:spacing w:line="340" w:lineRule="exact"/>
        <w:ind w:firstLine="212" w:firstLineChars="100"/>
        <w:rPr>
          <w:rFonts w:hint="default"/>
          <w:spacing w:val="0"/>
        </w:rPr>
      </w:pPr>
      <w:r>
        <w:rPr>
          <w:rFonts w:hint="eastAsia" w:ascii="ＭＳ 明朝" w:hAnsi="ＭＳ 明朝"/>
        </w:rPr>
        <w:t>　ならない。</w:t>
      </w:r>
      <w:r>
        <w:rPr>
          <w:rFonts w:hint="default" w:eastAsia="Times New Roman"/>
          <w:spacing w:val="0"/>
        </w:rPr>
        <w:t xml:space="preserve">                                                                   </w:t>
      </w:r>
    </w:p>
    <w:p>
      <w:pPr>
        <w:pStyle w:val="15"/>
        <w:spacing w:line="340" w:lineRule="exact"/>
        <w:rPr>
          <w:rFonts w:hint="default" w:ascii="ＭＳ 明朝" w:hAnsi="ＭＳ 明朝"/>
        </w:rPr>
      </w:pPr>
      <w:r>
        <w:rPr>
          <w:rFonts w:hint="eastAsia" w:ascii="ＭＳ 明朝" w:hAnsi="ＭＳ 明朝"/>
        </w:rPr>
        <w:t>１６　建設工事に係る資材の再資源化等に関する法律（建設リサイクル法）の対象となる工事につい</w:t>
      </w:r>
    </w:p>
    <w:p>
      <w:pPr>
        <w:pStyle w:val="15"/>
        <w:spacing w:line="340" w:lineRule="exact"/>
        <w:ind w:firstLine="424" w:firstLineChars="200"/>
        <w:rPr>
          <w:rFonts w:hint="default"/>
          <w:spacing w:val="0"/>
        </w:rPr>
      </w:pPr>
      <w:r>
        <w:rPr>
          <w:rFonts w:hint="eastAsia" w:ascii="ＭＳ 明朝" w:hAnsi="ＭＳ 明朝"/>
        </w:rPr>
        <w:t>ては、再資源化等に要する見積など所定の事務手続きを行うこと。</w:t>
      </w:r>
    </w:p>
    <w:p>
      <w:pPr>
        <w:pStyle w:val="15"/>
        <w:spacing w:line="340" w:lineRule="exact"/>
        <w:rPr>
          <w:rFonts w:hint="default" w:ascii="ＭＳ 明朝" w:hAnsi="ＭＳ 明朝"/>
        </w:rPr>
      </w:pPr>
      <w:r>
        <w:rPr>
          <w:rFonts w:hint="eastAsia" w:ascii="ＭＳ 明朝" w:hAnsi="ＭＳ 明朝"/>
        </w:rPr>
        <w:t>１７</w:t>
      </w:r>
      <w:r>
        <w:rPr>
          <w:rFonts w:hint="default" w:eastAsia="Times New Roman"/>
          <w:spacing w:val="0"/>
        </w:rPr>
        <w:t xml:space="preserve">  </w:t>
      </w:r>
      <w:r>
        <w:rPr>
          <w:rFonts w:hint="eastAsia" w:ascii="ＭＳ 明朝" w:hAnsi="ＭＳ 明朝"/>
        </w:rPr>
        <w:t>以上のほか、大刀洗町財務規則その他の入札に関する法令を守るとともに、</w:t>
      </w:r>
      <w:r>
        <w:rPr>
          <w:rFonts w:hint="default" w:eastAsia="Times New Roman"/>
          <w:spacing w:val="0"/>
        </w:rPr>
        <w:t xml:space="preserve"> </w:t>
      </w:r>
      <w:r>
        <w:rPr>
          <w:rFonts w:hint="eastAsia" w:ascii="ＭＳ 明朝" w:hAnsi="ＭＳ 明朝"/>
        </w:rPr>
        <w:t>町の指示に従わ</w:t>
      </w:r>
    </w:p>
    <w:p>
      <w:pPr>
        <w:pStyle w:val="15"/>
        <w:spacing w:line="340" w:lineRule="exact"/>
        <w:ind w:firstLine="212" w:firstLineChars="100"/>
        <w:rPr>
          <w:rFonts w:hint="default" w:ascii="ＭＳ 明朝" w:hAnsi="ＭＳ 明朝"/>
        </w:rPr>
      </w:pPr>
      <w:r>
        <w:rPr>
          <w:rFonts w:hint="eastAsia" w:ascii="ＭＳ 明朝" w:hAnsi="ＭＳ 明朝"/>
        </w:rPr>
        <w:t>　なければならない。</w:t>
      </w:r>
    </w:p>
    <w:sectPr>
      <w:headerReference r:id="rId6" w:type="even"/>
      <w:headerReference r:id="rId7" w:type="default"/>
      <w:footerReference r:id="rId9" w:type="even"/>
      <w:footerReference r:id="rId10" w:type="default"/>
      <w:headerReference r:id="rId5" w:type="first"/>
      <w:footerReference r:id="rId8" w:type="first"/>
      <w:pgSz w:w="11906" w:h="16838"/>
      <w:pgMar w:top="1021" w:right="1134" w:bottom="85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9" w:lineRule="exact"/>
      <w:jc w:val="both"/>
    </w:pPr>
    <w:rPr>
      <w:rFonts w:ascii="Times New Roman" w:hAnsi="Times New Roman"/>
      <w:spacing w:val="1"/>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customStyle="1">
    <w:name w:val="sec0"/>
    <w:basedOn w:val="0"/>
    <w:next w:val="20"/>
    <w:link w:val="0"/>
    <w:uiPriority w:val="0"/>
    <w:pPr>
      <w:widowControl w:val="1"/>
      <w:spacing w:line="336" w:lineRule="atLeast"/>
      <w:ind w:left="240" w:hanging="240"/>
      <w:jc w:val="left"/>
    </w:pPr>
    <w:rPr>
      <w:rFonts w:ascii="ＭＳ 明朝" w:hAnsi="ＭＳ 明朝"/>
      <w:kern w:val="0"/>
      <w:sz w:val="24"/>
    </w:rPr>
  </w:style>
  <w:style w:type="paragraph" w:styleId="21" w:customStyle="1">
    <w:name w:val="sec1"/>
    <w:basedOn w:val="0"/>
    <w:next w:val="21"/>
    <w:link w:val="0"/>
    <w:uiPriority w:val="0"/>
    <w:pPr>
      <w:widowControl w:val="1"/>
      <w:spacing w:line="336" w:lineRule="atLeast"/>
      <w:ind w:left="480" w:hanging="240"/>
      <w:jc w:val="left"/>
    </w:pPr>
    <w:rPr>
      <w:rFonts w:ascii="ＭＳ 明朝" w:hAnsi="ＭＳ 明朝"/>
      <w:kern w:val="0"/>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12</Words>
  <Characters>1289</Characters>
  <Application>JUST Note</Application>
  <Lines>46</Lines>
  <Paragraphs>33</Paragraphs>
  <CharactersWithSpaces>1444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2023-04-25T04:22:00Z</dcterms:created>
  <dcterms:modified xsi:type="dcterms:W3CDTF">2024-05-19T02:49:01Z</dcterms:modified>
  <cp:revision>1</cp:revision>
</cp:coreProperties>
</file>